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Taylor Brooks HR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 w:eastAsia="Arial"/>
              <w:b/>
              <w:i w:val="0"/>
              <w:color w:val="2B4570"/>
              <w:sz w:val="15"/>
            </w:rPr>
            <w:t>Taylor Brooks HR</w:t>
          </w: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9674352</wp:posOffset>
          </wp:positionV>
          <wp:extent cx="7772400" cy="384048"/>
          <wp:effectExtent l="0" t="0" r="0" b="0"/>
          <wp:wrapNone/>
          <wp:docPr id="1" name="c72266768fcdd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72266768fcdd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384048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46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faec7893ae6dd7.png" descr="Taylor Brooks HR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aec7893ae6dd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2B4570"/>
              <w:sz w:val="40"/>
            </w:rPr>
            <w:t>Taylor Brooks HR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HR CONSULTING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b9cf63e9d8b10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9cf63e9d8b102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8dc2ba5dbaea5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dc2ba5dbaea5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cb71602aff145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b71602aff145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9d89d9ef4363c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d89d9ef4363ce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46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783080"/>
          <wp:effectExtent l="0" t="0" r="0" b="0"/>
          <wp:wrapNone/>
          <wp:docPr id="7" name="cb178d7438e4d1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b178d7438e4d1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7830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Denim Overlap Squares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