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Morgan Hale Coaching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5616"/>
      <w:gridCol w:w="3744"/>
    </w:tblGrid>
    <w:tr>
      <w:trPr>
        <w:trHeight w:val="1656" w:hRule="atLeast"/>
      </w:trPr>
      <w:tc>
        <w:tcPr>
          <w:tcW w:type="dxa" w:w="561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3E5C76"/>
              <w:sz w:val="48"/>
            </w:rPr>
            <w:t>MORGAN</w:t>
          </w:r>
        </w:p>
        <w:p>
          <w:pPr>
            <w:spacing w:before="0" w:after="4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3E5C76"/>
              <w:sz w:val="48"/>
            </w:rPr>
            <w:t>HALE COACHING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EXECUTIVE COACHING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18667dc3f5182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8667dc3f5182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92d8bf8256d9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2d8bf8256d9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344d65e5e9be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344d65e5e9be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523a3a6383dd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523a3a6383dd1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320040"/>
          <wp:effectExtent l="0" t="0" r="0" b="0"/>
          <wp:wrapNone/>
          <wp:docPr id="5" name="4a1e65a96e4fd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a1e65a96e4fde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320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Dusty Blue Stacked Caps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