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Avery Lane Writing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592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5616"/>
      <w:gridCol w:w="3744"/>
    </w:tblGrid>
    <w:tr>
      <w:trPr>
        <w:trHeight w:val="1440" w:hRule="atLeast"/>
      </w:trPr>
      <w:tc>
        <w:tcPr>
          <w:tcW w:type="dxa" w:w="5616"/>
          <w:vAlign w:val="center"/>
        </w:tcPr>
        <w:p>
          <w:pPr>
            <w:pBdr>
              <w:left w:val="single" w:sz="36" w:space="7" w:color="C2B8A3"/>
            </w:pBd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4A4543"/>
              <w:sz w:val="38"/>
            </w:rPr>
            <w:t>Avery Lane Writing</w:t>
          </w:r>
        </w:p>
        <w:p>
          <w:pPr>
            <w:pBdr>
              <w:left w:val="single" w:sz="36" w:space="7" w:color="C2B8A3"/>
            </w:pBd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COPYWRITING AND EDITING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a908744379a85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908744379a85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46c2afb2d83a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6c2afb2d83a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65946cdc3ec6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65946cdc3ec6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b62628f1dddf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b62628f1dddf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 Grey Side Accent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