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Westbrook Academy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656" w:left="1440" w:header="432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b345e6085cd4a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345e6085cd4a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5689905d9ed0c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689905d9ed0c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6d3377ed17c58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3377ed17c58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1a83a0ef27aa2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a83a0ef27aa2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rPr>
        <w:trHeight w:val="1872" w:hRule="atLeast"/>
      </w:trPr>
      <w:tc>
        <w:tcPr>
          <w:tcW w:type="dxa" w:w="9360"/>
          <w:vAlign w:val="top"/>
        </w:tcPr>
        <w:p>
          <w:pPr>
            <w:spacing w:before="0" w:after="3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5" name="a770725834e54c.png" descr="Westbrook Academ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770725834e54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23395B"/>
              <w:sz w:val="42"/>
            </w:rPr>
            <w:t>Westbrook Academy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6"/>
            </w:rPr>
            <w:t>LEARNING FOR LIFE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"/>
          <wp:effectExtent l="0" t="0" r="0" b="0"/>
          <wp:wrapNone/>
          <wp:docPr id="6" name="9ec53ace5aa97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ec53ace5aa97b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2400" cy="10058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 Blue Arch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