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Pebble Robotics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952" w:right="1440" w:bottom="1656" w:left="1440" w:header="979" w:footer="74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Company Name LLC · EIN 00-0000000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9784080</wp:posOffset>
          </wp:positionV>
          <wp:extent cx="7772400" cy="274320"/>
          <wp:effectExtent l="0" t="0" r="0" b="0"/>
          <wp:wrapNone/>
          <wp:docPr id="1" name="65f3cba9a46025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65f3cba9a4602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27432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744"/>
    </w:tblGrid>
    <w:tr>
      <w:trPr>
        <w:trHeight w:val="1368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b47d20aa8deeb4.png" descr="Pebble Robotic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47d20aa8deeb4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1E40AF"/>
              <w:sz w:val="38"/>
            </w:rPr>
            <w:t>Pebble Robotics</w:t>
          </w:r>
        </w:p>
        <w:p>
          <w:pPr>
            <w:spacing w:before="0" w:after="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HARDWARE AND ROBOTICS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c05345009c00b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05345009c00bc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5d19bbf4e3b09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d19bbf4e3b093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c847a742ee02f1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847a742ee02f1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7ddc2606e74e7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ddc2606e74e78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457200"/>
          <wp:effectExtent l="0" t="0" r="0" b="0"/>
          <wp:wrapNone/>
          <wp:docPr id="7" name="2e344eb036ad0f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e344eb036ad0f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4572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Orbit Blue Pinstripe Band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