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Greenleaf Pediatrics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800" w:left="1440" w:header="648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24c3a90bf152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c3a90bf152e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0ff4c4c2b7e2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ff4c4c2b7e2a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79706e13a42a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706e13a42af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a3a2c178e87a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a3a2c178e87a8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9372600</wp:posOffset>
          </wp:positionV>
          <wp:extent cx="7772400" cy="685800"/>
          <wp:effectExtent l="0" t="0" r="0" b="0"/>
          <wp:wrapNone/>
          <wp:docPr id="5" name="13198407bf74b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3198407bf74b6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6858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40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6" name="0c73ff8ba72b37.png" descr="Greenleaf Pediatr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73ff8ba72b3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2D6A4F"/>
              <w:sz w:val="37"/>
            </w:rPr>
            <w:t>Greenleaf Pediatrics</w:t>
          </w:r>
        </w:p>
        <w:p>
          <w:pPr>
            <w:spacing w:before="0" w:after="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CHILDREN'S HEALTH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0a3a2c178e87a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a3a2c178e87a8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4c3a90bf152e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4c3a90bf152ec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0ff4c4c2b7e2a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ff4c4c2b7e2a7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0" name="79706e13a42a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9706e13a42aff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00200"/>
          <wp:effectExtent l="0" t="0" r="0" b="0"/>
          <wp:wrapNone/>
          <wp:docPr id="11" name="5ddf0261e6addf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5ddf0261e6addf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Wellness Green Window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