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mbria" w:hAnsi="Cambria" w:cs="Cambria" w:eastAsia="Cambr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mbria" w:hAnsi="Cambria" w:cs="Cambria" w:eastAsia="Cambria"/>
          <w:b w:val="0"/>
          <w:i w:val="0"/>
          <w:color w:val="5F6368"/>
          <w:sz w:val="21"/>
        </w:rPr>
        <w:t>Job Title, Bayview Wealth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664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Company Name LLC · EIN 00-0000000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238"/>
      <w:gridCol w:w="4522"/>
      <w:gridCol w:w="3600"/>
    </w:tblGrid>
    <w:tr>
      <w:trPr>
        <w:trHeight w:val="1440" w:hRule="atLeast"/>
      </w:trPr>
      <w:tc>
        <w:tcPr>
          <w:tcW w:type="dxa" w:w="1238"/>
          <w:shd w:val="clear" w:color="auto" w:fill="1D3557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Calibri" w:hAnsi="Calibri" w:cs="Calibri" w:eastAsia="Calibri"/>
              <w:b/>
              <w:i w:val="0"/>
              <w:color w:val="FFFFFF"/>
              <w:sz w:val="44"/>
            </w:rPr>
            <w:t>BW</w:t>
          </w:r>
        </w:p>
      </w:tc>
      <w:tc>
        <w:tcPr>
          <w:tcW w:type="dxa" w:w="4522"/>
          <w:tcMar>
            <w:top w:w="0" w:type="dxa"/>
            <w:left w:w="288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1D3557"/>
              <w:sz w:val="38"/>
            </w:rPr>
            <w:t>Bayview Wealth</w:t>
          </w:r>
        </w:p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FINANCIAL PLANNING</w:t>
          </w:r>
        </w:p>
      </w:tc>
      <w:tc>
        <w:tcPr>
          <w:tcW w:type="dxa" w:w="3600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4840882f723ee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840882f723ee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46623417a61ec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6623417a61ecd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109173f797980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09173f797980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84ca735233a25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4ca735233a25a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188720"/>
          <wp:effectExtent l="0" t="0" r="0" b="0"/>
          <wp:wrapNone/>
          <wp:docPr id="5" name="51b5a9c01612ba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51b5a9c01612ba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772400" cy="11887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mbria" w:hAnsi="Cambria" w:cs="Cambria" w:eastAsia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Harbor Blue Monogram Block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