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Norland Holdings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952" w:right="1440" w:bottom="1800" w:left="1440" w:header="605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2a35a0e96fdf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2a35a0e96fdf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494690626cb2d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4690626cb2d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94d48d5a0741a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d48d5a0741a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64ea6fc23972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64ea6fc239723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9345168</wp:posOffset>
          </wp:positionV>
          <wp:extent cx="7772400" cy="713232"/>
          <wp:effectExtent l="0" t="0" r="0" b="0"/>
          <wp:wrapNone/>
          <wp:docPr id="5" name="e671aee3b56a1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671aee3b56a1b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713232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a049a8b75ad861.png" descr="Norland Holding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049a8b75ad86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2B2D42"/>
              <w:sz w:val="38"/>
            </w:rPr>
            <w:t>Norland Holdings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4A4F55"/>
              <w:sz w:val="15"/>
            </w:rPr>
            <w:t>GROUP HEAD OFFICE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264ea6fc23972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64ea6fc23972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2a35a0e96fdf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2a35a0e96fdf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494690626cb2d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4690626cb2d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94d48d5a0741a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4d48d5a0741ad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45920"/>
          <wp:effectExtent l="0" t="0" r="0" b="0"/>
          <wp:wrapNone/>
          <wp:docPr id="11" name="c0027b621d4f9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0027b621d4f9f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459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2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Gold Offset Card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