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Clearwater Audit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944" w:left="1440" w:header="605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413"/>
      <w:gridCol w:w="5947"/>
    </w:tblGrid>
    <w:tr>
      <w:tc>
        <w:tcPr>
          <w:tcW w:type="dxa" w:w="3413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FFFFFF"/>
              <w:sz w:val="22"/>
            </w:rPr>
            <w:t>Clearwater Audit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3"/>
            </w:rPr>
            <w:t>AUDIT AND ASSURANCE</w:t>
          </w:r>
        </w:p>
      </w:tc>
      <w:tc>
        <w:tcPr>
          <w:tcW w:type="dxa" w:w="5947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275486b4861f7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5486b4861f7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19124ee30cd3b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124ee30cd3b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1f2fce16ce134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2fce16ce134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9189720</wp:posOffset>
          </wp:positionV>
          <wp:extent cx="7772400" cy="868680"/>
          <wp:effectExtent l="0" t="0" r="0" b="0"/>
          <wp:wrapNone/>
          <wp:docPr id="4" name="4130da12b3eba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130da12b3eba1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7772400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728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fab92bebb169f8.png" descr="Clearwater Audi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ab92bebb169f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i w:val="0"/>
              <w:color w:val="0F3D91"/>
              <w:sz w:val="42"/>
            </w:rPr>
            <w:t>Clearwater Audit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6"/>
            </w:rPr>
            <w:t>AUDIT AND ASSURANCE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Sapphire Footer Split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