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Greystone Capital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8412480</wp:posOffset>
          </wp:positionV>
          <wp:extent cx="7772400" cy="1645920"/>
          <wp:effectExtent l="0" t="0" r="0" b="0"/>
          <wp:wrapNone/>
          <wp:docPr id="1" name="3219804e9ec04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219804e9ec04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6459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4b2c348361b476.png" descr="Greystone Capital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b2c348361b47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1B4332"/>
              <w:sz w:val="38"/>
            </w:rPr>
            <w:t>Greystone Capital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INVESTMENT MANAGEMENT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1bdb9e576f16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bdb9e576f16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980a0e50f221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80a0e50f221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d2fd7479d54e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2fd7479d54e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0238f7c6c99f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0238f7c6c99f3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468880"/>
          <wp:effectExtent l="0" t="0" r="0" b="0"/>
          <wp:wrapNone/>
          <wp:docPr id="7" name="550f28e4161a9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50f28e4161a93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4688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Ledger Green Right Rail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