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Bancroft Advisory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80" w:right="1440" w:bottom="1512" w:left="1440" w:header="648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Calibri" w:hAnsi="Calibri" w:cs="Calibri" w:eastAsia="Calibri"/>
              <w:b/>
              <w:i w:val="0"/>
              <w:color w:val="003366"/>
              <w:sz w:val="15"/>
            </w:rPr>
            <w:t>Bancroft Advisory</w:t>
          </w: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579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1" name="1d6855ff1f3245.png" descr="Bancroft Advisory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d6855ff1f3245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79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mbria" w:hAnsi="Cambria" w:cs="Cambria" w:eastAsia="Cambria"/>
              <w:b/>
              <w:i w:val="0"/>
              <w:color w:val="FFFFFF"/>
              <w:sz w:val="38"/>
            </w:rPr>
            <w:t>Bancroft Advisory</w:t>
          </w:r>
        </w:p>
        <w:p>
          <w:pPr>
            <w:spacing w:before="0" w:after="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MANAGEMENT CONSULTANTS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8725e56643979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725e566439792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cc3683d37733e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c3683d37733e0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8e3bee459fc69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e3bee459fc69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e7a8802b5f71c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7a8802b5f71ce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600200"/>
          <wp:effectExtent l="0" t="0" r="0" b="0"/>
          <wp:wrapNone/>
          <wp:docPr id="6" name="fac46184330ea4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ac46184330ea4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6002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Capital Blue Panel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