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Kingsley Rowe &amp; Partners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304" w:right="1440" w:bottom="1656" w:left="1440" w:header="648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7A1F2B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080" w:hRule="atLeast"/>
      </w:trPr>
      <w:tc>
        <w:tcPr>
          <w:tcW w:type="dxa" w:w="9360"/>
          <w:vAlign w:val="top"/>
        </w:tcPr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7A1F2B"/>
              <w:sz w:val="26"/>
            </w:rPr>
            <w:t>KINGSLEY ROWE &amp; PARTNERS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/>
              <w:color w:val="5F6368"/>
              <w:sz w:val="16"/>
            </w:rPr>
            <w:t>Litigation and Dispute Resolution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731520"/>
          <wp:effectExtent l="0" t="0" r="0" b="0"/>
          <wp:wrapNone/>
          <wp:docPr id="1" name="eb95890b89ce4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b95890b89ce4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7315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Claret Grey Spaced Capitals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