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Ashdown Mercer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024" w:right="1440" w:bottom="2016" w:left="1440" w:header="1008" w:footer="10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1C2E5C"/>
              <w:sz w:val="15"/>
            </w:rPr>
            <w:t xml:space="preserve">T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1C2E5C"/>
              <w:sz w:val="15"/>
            </w:rPr>
            <w:t xml:space="preserve">E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1C2E5C"/>
              <w:sz w:val="15"/>
            </w:rPr>
            <w:t xml:space="preserve">W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1C2E5C"/>
              <w:sz w:val="15"/>
            </w:rPr>
            <w:t xml:space="preserve">A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8595360</wp:posOffset>
          </wp:positionV>
          <wp:extent cx="7772400" cy="1463040"/>
          <wp:effectExtent l="0" t="0" r="0" b="0"/>
          <wp:wrapNone/>
          <wp:docPr id="1" name="b333b39237a8d3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333b39237a8d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4630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rPr>
        <w:trHeight w:val="1512" w:hRule="atLeast"/>
      </w:trPr>
      <w:tc>
        <w:tcPr>
          <w:tcW w:type="dxa" w:w="9360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2" name="4ce1872ce2cd09.png" descr="Ashdown Mercer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ce1872ce2cd0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1C2E5C"/>
              <w:sz w:val="42"/>
            </w:rPr>
            <w:t>ASHDOWN MERCER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/>
              <w:color w:val="5F6368"/>
              <w:sz w:val="16"/>
            </w:rPr>
            <w:t>Employment Law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828800"/>
          <wp:effectExtent l="0" t="0" r="0" b="0"/>
          <wp:wrapNone/>
          <wp:docPr id="3" name="49beb5856593a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9beb5856593a8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Inkwell Blue Open Frame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