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Carrow &amp; Lisle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9144000</wp:posOffset>
          </wp:positionV>
          <wp:extent cx="7772400" cy="914400"/>
          <wp:effectExtent l="0" t="0" r="0" b="0"/>
          <wp:wrapNone/>
          <wp:docPr id="1" name="c75906af71fa8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75906af71fa8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9144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5616"/>
      <w:gridCol w:w="3744"/>
    </w:tblGrid>
    <w:tr>
      <w:trPr>
        <w:trHeight w:val="1440" w:hRule="atLeast"/>
      </w:trPr>
      <w:tc>
        <w:tcPr>
          <w:tcW w:type="dxa" w:w="5616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2C3E50"/>
              <w:sz w:val="38"/>
            </w:rPr>
            <w:t>Carrow &amp; Lisle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FAMILY AND PROPERTY LAW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A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T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E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W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37360"/>
          <wp:effectExtent l="0" t="0" r="0" b="0"/>
          <wp:wrapNone/>
          <wp:docPr id="2" name="2d79970568066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d79970568066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Slate Ledger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