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Hartwell Chambers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9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Company Name LLC · EIN 00-0000000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9912096</wp:posOffset>
          </wp:positionV>
          <wp:extent cx="7772400" cy="146304"/>
          <wp:effectExtent l="0" t="0" r="0" b="0"/>
          <wp:wrapNone/>
          <wp:docPr id="1" name="9f49cde28fcee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9f49cde28fcee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46304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18eeeacd8fa2cb.png" descr="Hartwell Chamber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8eeeacd8fa2c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1E3D33"/>
              <w:sz w:val="36"/>
            </w:rPr>
            <w:t>HARTWELL CHAMBERS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/>
              <w:color w:val="5F6368"/>
              <w:sz w:val="15"/>
            </w:rPr>
            <w:t>Barristers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1E3D33"/>
              <w:sz w:val="15"/>
            </w:rPr>
            <w:t xml:space="preserve">A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1E3D33"/>
              <w:sz w:val="15"/>
            </w:rPr>
            <w:t xml:space="preserve">T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1E3D33"/>
              <w:sz w:val="15"/>
            </w:rPr>
            <w:t xml:space="preserve">E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1E3D33"/>
              <w:sz w:val="15"/>
            </w:rPr>
            <w:t xml:space="preserve">W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600200"/>
          <wp:effectExtent l="0" t="0" r="0" b="0"/>
          <wp:wrapNone/>
          <wp:docPr id="3" name="3e510b3b177d2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e510b3b177d2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72400" cy="16002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Chancery Green Ornament Rule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