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Wavecrest Digital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34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0E4C61"/>
              <w:sz w:val="15"/>
            </w:rPr>
            <w:t>Wavecrest Digital</w:t>
          </w: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6048"/>
      <w:gridCol w:w="3312"/>
    </w:tblGrid>
    <w:tr>
      <w:trPr>
        <w:trHeight w:val="1584" w:hRule="atLeast"/>
      </w:trPr>
      <w:tc>
        <w:tcPr>
          <w:tcW w:type="dxa" w:w="6048"/>
          <w:vAlign w:val="top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0E4C61"/>
              <w:sz w:val="44"/>
            </w:rPr>
            <w:t>Wavecrest Digital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PERFORMANCE MARKETING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4792b65a81c54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792b65a81c54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f3d32d294ce86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3d32d294ce86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16728282cfbe7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6728282cfbe7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1b773c2131eee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b773c2131eee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312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914400"/>
          <wp:effectExtent l="0" t="0" r="0" b="0"/>
          <wp:wrapNone/>
          <wp:docPr id="5" name="d28f9059b6dbd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28f9059b6dbd8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914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 Tangerine Brush Stroke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