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Morgan Hale Coaching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5282"/>
      <w:gridCol w:w="3744"/>
    </w:tblGrid>
    <w:tr>
      <w:trPr>
        <w:trHeight w:val="1656" w:hRule="atLeast"/>
      </w:trPr>
      <w:tc>
        <w:tcPr>
          <w:tcW w:type="dxa" w:w="5282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3E5C76"/>
              <w:sz w:val="48"/>
            </w:rPr>
            <w:t>MORGAN</w:t>
          </w:r>
        </w:p>
        <w:p>
          <w:pPr>
            <w:spacing w:before="0" w:after="4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3E5C76"/>
              <w:sz w:val="48"/>
            </w:rPr>
            <w:t>HALE COACHING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EXECUTIVE COACHING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18667dc3f5182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8667dc3f5182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92d8bf8256d9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2d8bf8256d9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344d65e5e9be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344d65e5e9be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523a3a6383dd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523a3a6383dd1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320040"/>
          <wp:effectExtent l="0" t="0" r="0" b="0"/>
          <wp:wrapNone/>
          <wp:docPr id="5" name="f8dda0b046c76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8dda0b046c768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320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Dusty Blue Stacked Caps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