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Westbrook Academy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80" w:right="1440" w:bottom="1656" w:left="1440" w:header="432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b345e6085cd4a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345e6085cd4a7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5689905d9ed0c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689905d9ed0c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6d3377ed17c58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3377ed17c582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1a83a0ef27aa2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a83a0ef27aa2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rPr>
        <w:trHeight w:val="1872" w:hRule="atLeast"/>
      </w:trPr>
      <w:tc>
        <w:tcPr>
          <w:tcW w:type="dxa" w:w="9026"/>
          <w:vAlign w:val="top"/>
        </w:tcPr>
        <w:p>
          <w:pPr>
            <w:spacing w:before="0" w:after="3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5" name="a770725834e54c.png" descr="Westbrook Academ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770725834e54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Georgia" w:hAnsi="Georgia" w:cs="Georgia" w:eastAsia="Georgia"/>
              <w:b/>
              <w:i w:val="0"/>
              <w:color w:val="23395B"/>
              <w:sz w:val="42"/>
            </w:rPr>
            <w:t>Westbrook Academy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 w:val="0"/>
              <w:color w:val="5F6368"/>
              <w:sz w:val="16"/>
            </w:rPr>
            <w:t>LEARNING FOR LIFE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005840"/>
          <wp:effectExtent l="0" t="0" r="0" b="0"/>
          <wp:wrapNone/>
          <wp:docPr id="6" name="7499a2bf85f88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499a2bf85f88c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0259" cy="10058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 Blue Arch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