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Ironbridge Builders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92" w:right="1440" w:bottom="2664" w:left="1440" w:header="605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009"/>
      <w:gridCol w:w="3009"/>
      <w:gridCol w:w="3009"/>
    </w:tblGrid>
    <w:tr>
      <w:tc>
        <w:tcPr>
          <w:tcW w:type="dxa" w:w="3009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10 High Street · Your City · Postcode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+44 (0)20 7946 0000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hello@yourcompany.com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9229039</wp:posOffset>
          </wp:positionV>
          <wp:extent cx="7560259" cy="1463040"/>
          <wp:effectExtent l="0" t="0" r="0" b="0"/>
          <wp:wrapNone/>
          <wp:docPr id="5" name="8189314f0b186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189314f0b1865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32e27ffa359ea4.png" descr="Ironbridge Build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2e27ffa359ea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D3D3D"/>
              <w:sz w:val="36"/>
            </w:rPr>
            <w:t>Ironbridge Builders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GENERAL CONTRACTORS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1aaf6096534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1aaf60965343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12ba380b30f4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2ba380b30f4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9cbdba73786b7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bdba73786b7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4bb3c777a1e0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bb3c777a1e02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3D3D3D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Relationship Id="rId4" Type="http://schemas.openxmlformats.org/officeDocument/2006/relationships/image" Target="media/image9.png"/><Relationship Id="rId5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Orange Peaks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