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Greenleaf Pediatrics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800" w:left="1440" w:header="648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4c3a90bf152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c3a90bf152e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ff4c4c2b7e2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ff4c4c2b7e2a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79706e13a42a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706e13a42a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a3a2c178e87a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a3a2c178e87a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10006279</wp:posOffset>
          </wp:positionV>
          <wp:extent cx="7560259" cy="685800"/>
          <wp:effectExtent l="0" t="0" r="0" b="0"/>
          <wp:wrapNone/>
          <wp:docPr id="5" name="347f41da7c446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47f41da7c4467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6858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0c73ff8ba72b37.png" descr="Greenleaf Pediatr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73ff8ba72b3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D6A4F"/>
              <w:sz w:val="34"/>
            </w:rPr>
            <w:t>Greenleaf Pediatrics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CHILDREN'S HEALTH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0a3a2c178e87a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a3a2c178e87a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4c3a90bf152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c3a90bf152e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ff4c4c2b7e2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ff4c4c2b7e2a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79706e13a42a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706e13a42af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00200"/>
          <wp:effectExtent l="0" t="0" r="0" b="0"/>
          <wp:wrapNone/>
          <wp:docPr id="11" name="2d1d01939ec2f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d1d01939ec2f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Wellness Green Window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