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Bayview Wealth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6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238"/>
      <w:gridCol w:w="4188"/>
      <w:gridCol w:w="3600"/>
    </w:tblGrid>
    <w:tr>
      <w:trPr>
        <w:trHeight w:val="1440" w:hRule="atLeast"/>
      </w:trPr>
      <w:tc>
        <w:tcPr>
          <w:tcW w:type="dxa" w:w="1238"/>
          <w:shd w:val="clear" w:color="auto" w:fill="1D3557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/>
              <w:i w:val="0"/>
              <w:color w:val="FFFFFF"/>
              <w:sz w:val="44"/>
            </w:rPr>
            <w:t>BW</w:t>
          </w:r>
        </w:p>
      </w:tc>
      <w:tc>
        <w:tcPr>
          <w:tcW w:type="dxa" w:w="4188"/>
          <w:tcMar>
            <w:top w:w="0" w:type="dxa"/>
            <w:left w:w="288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1D3557"/>
              <w:sz w:val="38"/>
            </w:rPr>
            <w:t>Bayview Wealth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FINANCIAL PLANNING</w:t>
          </w:r>
        </w:p>
      </w:tc>
      <w:tc>
        <w:tcPr>
          <w:tcW w:type="dxa" w:w="360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840882f723e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840882f723ee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6623417a61ec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623417a61ec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09173f797980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09173f797980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84ca735233a2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ca735233a25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188720"/>
          <wp:effectExtent l="0" t="0" r="0" b="0"/>
          <wp:wrapNone/>
          <wp:docPr id="5" name="300f48b1094e8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00f48b1094e83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Blue Monogram Block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