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Greystone Capital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9046159</wp:posOffset>
          </wp:positionV>
          <wp:extent cx="7560259" cy="1645920"/>
          <wp:effectExtent l="0" t="0" r="0" b="0"/>
          <wp:wrapNone/>
          <wp:docPr id="1" name="bab8a7c9839df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b8a7c9839df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6459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4b2c348361b476.png" descr="Greystone Capita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b2c348361b47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1B4332"/>
              <w:sz w:val="38"/>
            </w:rPr>
            <w:t>Greystone Capital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INVESTMENT MANAGEMENT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1bdb9e576f16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bdb9e576f16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980a0e50f221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80a0e50f221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d2fd7479d54e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2fd7479d54e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0238f7c6c99f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0238f7c6c99f3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468880"/>
          <wp:effectExtent l="0" t="0" r="0" b="0"/>
          <wp:wrapNone/>
          <wp:docPr id="7" name="4fe99d1c05788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fe99d1c057889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4688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Ledger Green Right Rail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