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Kingsley Rowe &amp; Partners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04" w:right="1440" w:bottom="1656" w:left="1440" w:header="64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080" w:hRule="atLeast"/>
      </w:trPr>
      <w:tc>
        <w:tcPr>
          <w:tcW w:type="dxa" w:w="9026"/>
          <w:vAlign w:val="top"/>
        </w:tcPr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7A1F2B"/>
              <w:sz w:val="26"/>
            </w:rPr>
            <w:t>KINGSLEY ROWE &amp; PARTNERS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Litigation and Dispute Resolution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731520"/>
          <wp:effectExtent l="0" t="0" r="0" b="0"/>
          <wp:wrapNone/>
          <wp:docPr id="1" name="089fd3b548583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89fd3b548583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7315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Claret Grey Spaced Capitals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