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Thornbury Legal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5426"/>
      <w:gridCol w:w="3600"/>
    </w:tblGrid>
    <w:tr>
      <w:trPr>
        <w:trHeight w:val="1440" w:hRule="atLeast"/>
      </w:trPr>
      <w:tc>
        <w:tcPr>
          <w:tcW w:type="dxa" w:w="5426"/>
          <w:vAlign w:val="center"/>
        </w:tcPr>
        <w:p>
          <w:pPr>
            <w:spacing w:before="0" w:after="60" w:line="240" w:lineRule="auto"/>
            <w:jc w:val="left"/>
          </w:pPr>
          <w:r>
            <w:rPr>
              <w:rFonts w:ascii="Georgia" w:hAnsi="Georgia" w:cs="Georgia" w:eastAsia="Georgia"/>
              <w:b w:val="0"/>
              <w:i/>
              <w:color w:val="3A3A3A"/>
              <w:sz w:val="52"/>
            </w:rPr>
            <w:t>Thornbury Legal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LEGAL ADVISERS</w:t>
          </w:r>
        </w:p>
      </w:tc>
      <w:tc>
        <w:tcPr>
          <w:tcW w:type="dxa" w:w="3600"/>
          <w:vAlign w:val="center"/>
        </w:tcPr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508760"/>
          <wp:effectExtent l="0" t="0" r="0" b="0"/>
          <wp:wrapNone/>
          <wp:docPr id="1" name="29480742181e6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9480742181e6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5087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Charcoal Parchment Signature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