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Ashdown Mercer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024" w:right="1440" w:bottom="2016" w:left="1440" w:header="1008" w:footer="10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1C2E5C"/>
              <w:sz w:val="15"/>
            </w:rPr>
            <w:t xml:space="preserve">T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1C2E5C"/>
              <w:sz w:val="15"/>
            </w:rPr>
            <w:t xml:space="preserve">E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1C2E5C"/>
              <w:sz w:val="15"/>
            </w:rPr>
            <w:t xml:space="preserve">W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1C2E5C"/>
              <w:sz w:val="15"/>
            </w:rPr>
            <w:t xml:space="preserve">A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9229039</wp:posOffset>
          </wp:positionV>
          <wp:extent cx="7560259" cy="1463040"/>
          <wp:effectExtent l="0" t="0" r="0" b="0"/>
          <wp:wrapNone/>
          <wp:docPr id="1" name="259baa0a40d60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59baa0a40d60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4630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rPr>
        <w:trHeight w:val="1512" w:hRule="atLeast"/>
      </w:trPr>
      <w:tc>
        <w:tcPr>
          <w:tcW w:type="dxa" w:w="9026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2" name="4ce1872ce2cd09.png" descr="Ashdown Mercer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ce1872ce2cd0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1C2E5C"/>
              <w:sz w:val="42"/>
            </w:rPr>
            <w:t>ASHDOWN MERCER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/>
              <w:color w:val="5F6368"/>
              <w:sz w:val="16"/>
            </w:rPr>
            <w:t>Employment Law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828800"/>
          <wp:effectExtent l="0" t="0" r="0" b="0"/>
          <wp:wrapNone/>
          <wp:docPr id="3" name="801f452fee5a4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01f452fee5a4c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259" cy="1828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Inkwell Blue Open Frame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