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Pemberton Grange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872" w:left="1440" w:header="648" w:footer="83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5A2A27"/>
              <w:sz w:val="15"/>
            </w:rPr>
            <w:t xml:space="preserve">T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5A2A27"/>
              <w:sz w:val="15"/>
            </w:rPr>
            <w:t xml:space="preserve">E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rPr>
              <w:rFonts w:ascii="Arial" w:hAnsi="Arial" w:cs="Arial" w:eastAsia="Arial"/>
              <w:b/>
              <w:i w:val="0"/>
              <w:color w:val="5A2A27"/>
              <w:sz w:val="15"/>
            </w:rPr>
            <w:t xml:space="preserve">W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5A2A27"/>
              <w:sz w:val="15"/>
            </w:rPr>
            <w:t xml:space="preserve">A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9686239</wp:posOffset>
          </wp:positionV>
          <wp:extent cx="7560259" cy="1005840"/>
          <wp:effectExtent l="0" t="0" r="0" b="0"/>
          <wp:wrapNone/>
          <wp:docPr id="1" name="6e91bc2f0f86a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e91bc2f0f86a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0058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656" w:hRule="atLeast"/>
      </w:trPr>
      <w:tc>
        <w:tcPr>
          <w:tcW w:type="dxa" w:w="9026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2" name="2d360bbcbe595f.png" descr="Pemberton Grang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d360bbcbe595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5A2A27"/>
              <w:sz w:val="42"/>
            </w:rPr>
            <w:t>PEMBERTON GRANGE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/>
              <w:color w:val="5F6368"/>
              <w:sz w:val="16"/>
            </w:rPr>
            <w:t>Estate Planning Attorneys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234440"/>
          <wp:effectExtent l="0" t="0" r="0" b="0"/>
          <wp:wrapNone/>
          <wp:docPr id="3" name="cb8de24a94fd4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b8de24a94fd4b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259" cy="1234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Mahogany Corner Brackets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