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Wavecrest Digital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34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0E4C61"/>
              <w:sz w:val="15"/>
            </w:rPr>
            <w:t>Wavecrest Digital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048"/>
      <w:gridCol w:w="2978"/>
    </w:tblGrid>
    <w:tr>
      <w:trPr>
        <w:trHeight w:val="1584" w:hRule="atLeast"/>
      </w:trPr>
      <w:tc>
        <w:tcPr>
          <w:tcW w:type="dxa" w:w="6048"/>
          <w:vAlign w:val="top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0E4C61"/>
              <w:sz w:val="44"/>
            </w:rPr>
            <w:t>Wavecrest Digital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PERFORMANCE MARKETING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792b65a81c54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792b65a81c54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3d32d294ce86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d32d294ce86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6728282cfbe7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28282cfbe7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b773c2131eee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b773c2131eee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297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914400"/>
          <wp:effectExtent l="0" t="0" r="0" b="0"/>
          <wp:wrapNone/>
          <wp:docPr id="5" name="d85e57cebb46d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85e57cebb46d5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914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 Tangerine Brush Stroke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