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Kitebird Agency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53996804f4a26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3996804f4a26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d21d91a9b7376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21d91a9b73765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5b93ede9fe878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b93ede9fe878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72d8cd25d033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72d8cd25d0333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147"/>
      <w:gridCol w:w="3842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2c77697e04f74c.png" descr="Kitebird Agenc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c77697e04f74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47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1D3FA8"/>
              <w:sz w:val="40"/>
            </w:rPr>
            <w:t>Kitebird Agency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STRATEGY, DESIGN AND GROWTH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086b9a48d2dd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086b9a48d2dd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84124f5e5ed4b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4124f5e5ed4b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ca1aa1ea26201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a1aa1ea26201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1671c33036390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671c330363905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842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645920"/>
          <wp:effectExtent l="0" t="0" r="0" b="0"/>
          <wp:wrapNone/>
          <wp:docPr id="10" name="177948afbf2af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77948afbf2af5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6459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Cobalt Sun Bauhaus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